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12" w:rsidRPr="00823212" w:rsidRDefault="00823212" w:rsidP="00823212">
      <w:pPr>
        <w:rPr>
          <w:rFonts w:ascii="Times New Roman" w:eastAsia="Times New Roman" w:hAnsi="Times New Roman" w:cs="Times New Roman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Ogłoszenie nr 526219-N-2019 z dnia 2019-03-18 r.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jc w:val="center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l-PL"/>
        </w:rPr>
        <w:t>Międzygminny Zakład Gospodarki Odpadami Komunalnymi Sp. z o.o.: Modernizacja układu zasilania</w:t>
      </w:r>
      <w:r w:rsidRPr="00823212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Zamieszczanie ogłoszenia: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Zamieszczanie obowiązkowe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Ogłoszenie dotyczy: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Zamówienia publicznego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Tak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Nazwa projektu lub programu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Projekt współfinansowany w ramach Działania 4.2 „Gospodarka odpadami” Osi Priorytetowej 4 Dziedzictwo naturalne i kulturowe Regionalnego Programu Operacyjnego Województwa Świętokrzyskiego na łata 2014-2020.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Postępowanie przeprowadza centralny zamawiający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lastRenderedPageBreak/>
        <w:t>Postępowanie przeprowadza podmiot, któremu zamawiający powierzył/powierzyli przeprowadzenie postępowania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 xml:space="preserve">Informacje na temat </w:t>
      </w:r>
      <w:proofErr w:type="gramStart"/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podmiotu</w:t>
      </w:r>
      <w:proofErr w:type="gramEnd"/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 xml:space="preserve"> któremu zamawiający powierzył/powierzyli prowadzenie postępowania: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Postępowanie jest przeprowadzane wspólnie przez zamawiających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Informacje dodatkowe: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I. 1) NAZWA I ADRES: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Międzygminny Zakład Gospodarki Odpadami Komunalnymi Sp. z o.o., krajowy numer identyfikacyjny 26069816300000, ul. </w:t>
      </w:r>
      <w:proofErr w:type="gramStart"/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Baćkowice  86</w:t>
      </w:r>
      <w:proofErr w:type="gramEnd"/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, 27-552  Baćkowice, woj. świętokrzyskie, państwo Polska, tel. 605 533 283, e-mail mzgok@onet.pl, faks .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Adres strony internetowej (URL): www.mzgok.com.pl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Adres profilu nabywcy: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I. 2) RODZAJ ZAMAWIAJĄCEGO: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Inny (proszę określić):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Spółka prawa handlowego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I.3) WSPÓLNE UDZIELANIE ZAMÓWIENIA </w:t>
      </w:r>
      <w:r w:rsidRPr="00823212"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pl-PL"/>
        </w:rPr>
        <w:t>(jeżeli dotyczy)</w:t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: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I.4) KOMUNIKACJA: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Tak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www.mzgok.com.pl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Adres strony internetowej, na której zamieszczona będzie specyfikacja istotnych warunków zamówienia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Tak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www.mzgok.com.pl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Dostęp do dokumentów z postępowania jest ograniczony - więcej informacji można uzyskać pod adresem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Elektronicznie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adres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lastRenderedPageBreak/>
        <w:t>Dopuszczone jest przesłanie ofert lub wniosków o dopuszczenie do udziału w postępowaniu w inny sposób: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Inny sposób: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Tak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Inny sposób: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PISEMNIE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Adres: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Międzygminny Zakład Gospodarki Odpadami Komunalnymi Sp. z o.o. Janczyce 50, 27-552 Baćkowice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II.1) Nazwa nadana zamówieniu przez zamawiającego: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Modernizacja układu zasilania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Numer referencyjny: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MZGOK ZP.1.2019.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823212" w:rsidRPr="00823212" w:rsidRDefault="00823212" w:rsidP="00823212">
      <w:pPr>
        <w:spacing w:line="450" w:lineRule="atLeast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II.2) Rodzaj zamówienia: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Roboty budowlane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lastRenderedPageBreak/>
        <w:t>II.3) Informacja o możliwości składania ofert częściowych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Zamówienie podzielone jest na części: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II.4) Krótki opis przedmiotu zamówienia </w:t>
      </w:r>
      <w:r w:rsidRPr="00823212">
        <w:rPr>
          <w:rFonts w:ascii="-webkit-standard" w:eastAsia="Times New Roman" w:hAnsi="-webkit-standard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Przedmiotem zamówienia jest modernizacja układu zasilania mająca na celu zapewnienie odpowiedniego zapotrzebowania energetycznego urządzeń instalowanych w ramach przeprowadzanej modernizacji sortowni - części mechanicznej instalacji mechaniczno-biologicznego przetwarzania odpadów komunalnych w Zakładzie Utylizacji Odpadów Komunalnych w Janczycach 2.1.2.W ramach modernizacji układu zasilania należy wykonać następujący zakres prac: 1) Dostosowanie istniejącej w ZUOK w Janczycach stacji transformatorowej, układu zasilania i układu pomiarowego do zwiększonego poboru mocy – zgodnie z projektem wykonawczym i warunkami przyłączenia zatwierdzonymi 31.08.2016 r pismem znak RS-12/P-8-1990/XV-171/2233/2016 przez PGE Dystrybucja S.A. Oddział Rzeszów – zał. nr 9 a), b), c), d) do SIWZ 2) Doprowadzenie zasilania w miejsca wskazane w wytycznych technicznych przez dostawcę wyposażenia technologicznego – zał. Nr. 10 do SIWZ 3) Wykonanie odpowiednich pomiarów potwierdzających wykonania zainstalowanych mocy.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II.5) Główny kod CPV: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45310000-3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Dodatkowe kody CPV: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23212" w:rsidRPr="00823212" w:rsidTr="00823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212" w:rsidRPr="00823212" w:rsidRDefault="00823212" w:rsidP="00823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212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823212" w:rsidRPr="00823212" w:rsidTr="00823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212" w:rsidRPr="00823212" w:rsidRDefault="00823212" w:rsidP="00823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212">
              <w:rPr>
                <w:rFonts w:ascii="Times New Roman" w:eastAsia="Times New Roman" w:hAnsi="Times New Roman" w:cs="Times New Roman"/>
                <w:lang w:eastAsia="pl-PL"/>
              </w:rPr>
              <w:t>45311000-0</w:t>
            </w:r>
          </w:p>
        </w:tc>
      </w:tr>
      <w:tr w:rsidR="00823212" w:rsidRPr="00823212" w:rsidTr="00823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212" w:rsidRPr="00823212" w:rsidRDefault="00823212" w:rsidP="00823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212">
              <w:rPr>
                <w:rFonts w:ascii="Times New Roman" w:eastAsia="Times New Roman" w:hAnsi="Times New Roman" w:cs="Times New Roman"/>
                <w:lang w:eastAsia="pl-PL"/>
              </w:rPr>
              <w:t>45315700-5</w:t>
            </w:r>
          </w:p>
        </w:tc>
      </w:tr>
    </w:tbl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II.6) Całkowita wartość zamówienia </w:t>
      </w:r>
      <w:r w:rsidRPr="00823212">
        <w:rPr>
          <w:rFonts w:ascii="-webkit-standard" w:eastAsia="Times New Roman" w:hAnsi="-webkit-standard" w:cs="Times New Roman"/>
          <w:i/>
          <w:iCs/>
          <w:color w:val="000000"/>
          <w:lang w:eastAsia="pl-PL"/>
        </w:rPr>
        <w:t>(jeżeli zamawiający podaje informacje o wartości zamówienia)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Wartość bez VAT: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Waluta: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II.7) Czy przewiduje się udzielenie zamówień, o których mowa w art. 67 ust. 1 pkt 6 i 7 lub w art. 134 ust. 6 pkt 3 ustawy Pzp: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miesiącach:   </w:t>
      </w:r>
      <w:r w:rsidRPr="00823212">
        <w:rPr>
          <w:rFonts w:ascii="-webkit-standard" w:eastAsia="Times New Roman" w:hAnsi="-webkit-standard" w:cs="Times New Roman"/>
          <w:i/>
          <w:iCs/>
          <w:color w:val="000000"/>
          <w:lang w:eastAsia="pl-PL"/>
        </w:rPr>
        <w:t> lub </w:t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dniach: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i/>
          <w:iCs/>
          <w:color w:val="000000"/>
          <w:lang w:eastAsia="pl-PL"/>
        </w:rPr>
        <w:t>lub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data rozpoczęcia: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i/>
          <w:iCs/>
          <w:color w:val="000000"/>
          <w:lang w:eastAsia="pl-PL"/>
        </w:rPr>
        <w:t> lub </w:t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zakończenia: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2019-05-30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II.9) Informacje dodatkowe: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INFORMACJE O CHARAKTERZE PRAWNYM, EKONOMICZNYM, FINANSOWYM I TECHNICZNYM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III.1) WARUNKI UDZIAŁU W POSTĘPOWANIU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Określenie warunków: Zamawiający nie stawia warunku w ww. zakresie.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Informacje dodatkowe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III.1.2) Sytuacja finansowa lub ekonomiczna 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Określenie warunków: Zamawiający uzna ww. warunek za spełniony jeżeli wykonawca wykaże, że jest ubezpieczony od odpowiedzialności cywilnej w zakresie prowadzonej działalności związanej z przedmiotem zamówienia na sumę gwarancyjną nie mniejszą niż 200 000,00 złotych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Informacje dodatkowe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III.1.3) Zdolność techniczna lub zawodowa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 xml:space="preserve">Określenie warunków: Zamawiający uzna ww. warunek za spełniony, jeżeli wykonawca wykaże, że: a) nie wcześniej niż w okresie ostatnich 5 lat przed upływem terminu składania ofert, a jeżeli okres prowadzenia działalności jest krótszy - w tym okresie, wykonał w sposób należyty oraz zgodnie z zasadami sztuki budowlanej i prawidłowo zrealizował co najmniej dwie roboty budowlane każda polegająca na wykonaniu lub przebudowie układu zasilania każda o wartości nie mniejszej niż 200 000 PLN brutto.(słownie złotych: dwieście tysięcy b) dysponuje osobą zdolną do wykonania zamówienia odpowiedzialną za kierowanie robotami budowlanymi posiadającą uprawnienia budowlane do pełnienia samodzielnych funkcji w budownictwie w specjalności instalacyjnej w zakresie sieci, instalacji i urządzeń elektrycznych i elektroenergetycznych zgodnie z art. 12, art. 12a ust 1 oraz art. 14 ust. 1 ustawy z dnia 7 lipca 1994r. Prawo budowlane (Dz.U.2018.1202 t.j. z późn.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>Unii Europejskiej (Dz.U. 2016.65 tj. z póź.zm.)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Informacje dodatkowe: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III.2) PODSTAWY WYKLUCZENIA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III.2.1) Podstawy wykluczenia określone w art. 24 ust. 1 ustawy Pzp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III.2.2) Zamawiający przewiduje wykluczenie wykonawcy na podstawie art. 24 ust. 5 ustawy Pzp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Tak Zamawiający przewiduje następujące fakultatywne podstawy wykluczenia: Tak (podstawa wykluczenia określona w art. 24 ust. 5 pkt 1 ustawy Pzp)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Tak (podstawa wykluczenia określona w art. 24 ust. 5 pkt 2 ustawy Pzp)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Tak (podstawa wykluczenia określona w art. 24 ust. 5 pkt 3 ustawy Pzp)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Tak (podstawa wykluczenia określona w art. 24 ust. 5 pkt 4 ustawy Pzp)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Tak (podstawa wykluczenia określona w art. 24 ust. 5 pkt 5 ustawy Pzp)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Tak (podstawa wykluczenia określona w art. 24 ust. 5 pkt 6 ustawy Pzp)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Tak (podstawa wykluczenia określona w art. 24 ust. 5 pkt 7 ustawy Pzp)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Tak (podstawa wykluczenia określona w art. 24 ust. 5 pkt 8 ustawy Pzp)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Tak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Oświadczenie o spełnianiu kryteriów selekcji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Nie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 xml:space="preserve">III.4) WYKAZ OŚWIADCZEŃ LUB </w:t>
      </w:r>
      <w:proofErr w:type="gramStart"/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DOKUMENTÓW ,</w:t>
      </w:r>
      <w:proofErr w:type="gramEnd"/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 xml:space="preserve"> SKŁADANYCH PRZEZ WYKONAWCĘ W POSTĘPOWANIU NA WEZWANIE ZAMAWIAJACEGO W CELU POTWIERDZENIA OKOLICZNOŚCI, O KTÓRYCH MOWA W ART. 25 UST. 1 PKT 3 USTAWY PZP: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>a)zaświadczenia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c)odpisu z właściwego rejestru lub z centralnej ewidencji i informacji o działalności gospodarczej, jeżeli odrębne przepisy wymagają wpisu do rejestru lub ewidencji, w celu potwierdzenia braku podstaw wykluczenia na podstawie art. 24 ust. 5 pkt 1 ustawy; d)dokumentów dotyczących podmiotu trzeciego, w celu wykazania braku istnienia wobec nich podstaw wykluczenia oraz spełnienia, w zakresie, w jakim Wykonawca powołuje się na jego zasoby, warunków udziału w postępowaniu - jeżeli wykonawca polega na zasobach podmiotu trzeciego o których mowa w pkt. 5.3 lit a-c.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III.5.1) W ZAKRESIE SPEŁNIANIA WARUNKÓW UDZIAŁU W POSTĘPOWANIU: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 xml:space="preserve">d) wykazu robót wykonanych nie wcześniej niż w okresie ostatnich 5 lat przed upływem terminu składania ofert a jeżeli okres prowadzenia działalności jest krótszy - w tym okresie, wraz z podaniem ich rodzaju, wartości, daty, miejsca wykonania i podmiotów, 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 xml:space="preserve">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(zgodnie ze wzorem stanowiącym załącznik nr 5 do SIWZ) e)wykazu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(zgodnie ze wzorem stanowiącym załącznik nr 6 do SIWZ). f) oświadczenia na temat wykształcenia i kwalifikacji zawodowych wykonawcy lub kadry kierowniczej wykonawcy (zgodnie ze wzorem stanowiącym załącznik nr 6 do SIWZ); </w:t>
      </w:r>
      <w:proofErr w:type="gramStart"/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g)dokumentów</w:t>
      </w:r>
      <w:proofErr w:type="gramEnd"/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 xml:space="preserve"> potwierdzających, że wykonawca jest ubezpieczony od odpowiedzialności cywilnej w zakresie prowadzonej działalności związanej z przedmiotem zamówienia na sumę gwarancyjną określoną przez zamawiającego;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III.5.2) W ZAKRESIE KRYTERIÓW SELEKCJI: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III.7) INNE DOKUMENTY NIE WYMIENIONE W pkt III.3) - III.6)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 xml:space="preserve">Na potrzeby oceny ofert oferta musi zawierać: a) formularz ofertowy sporządzony i wypełniony według wzoru stanowiącego Załącznik Nr 1 do SIWZ, b) oświadczenia, o których mowa w pkt 5.1 SIWZ według wzoru stanowiącego Załącznik nr 2 i 3 do SIWZ, c)pełnomocnictwo do reprezentowania wykonawcy (wykonawców występujących wspólnie) o ile ofertę składa pełnomocnik, d) w przypadku wnoszenia wadium w formie 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>innej niż pieniężna, oryginał dokumentu wadialnego (gwarancji lub poręczenia) e) zobowiązanie podmiotu trzeciego, o którym mowa w pkt 4.5.1 i 4.5.4 SIWZ – jeżeli wykonawca polega na zasobach lub sytuacji podmiotu trzeciego.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IV.1) OPIS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IV.1.1) Tryb udzielenia zamówienia: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Przetarg nieograniczony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IV.1.2) Zamawiający żąda wniesienia wadium: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Tak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Informacja na temat wadium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Wykonawca jest zobowiązany wnieść wadium w wysokości 4.000 zł (słownie: cztery tysiące złotych 00/100).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Należy podać informacje na temat udzielania zaliczek: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>Informacje dodatkowe: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IV.1.5.) Wymaga się złożenia oferty wariantowej: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Dopuszcza się złożenie oferty wariantowej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Złożenie oferty wariantowej dopuszcza się tylko z jednoczesnym złożeniem oferty zasadniczej: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Liczba wykonawców  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Przewidywana minimalna liczba wykonawców 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Maksymalna liczba wykonawców  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Kryteria selekcji wykonawców: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Umowa ramowa będzie zawarta: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Czy przewiduje się ograniczenie liczby uczestników umowy ramowej: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Przewidziana maksymalna liczba uczestników umowy ramowej: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Informacje dodatkowe: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>Zamówienie obejmuje ustanowienie dynamicznego systemu zakupów: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Informacje dodatkowe: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IV.1.8) Aukcja elektroniczna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Przewidziane jest przeprowadzenie aukcji elektronicznej </w:t>
      </w:r>
      <w:r w:rsidRPr="00823212">
        <w:rPr>
          <w:rFonts w:ascii="-webkit-standard" w:eastAsia="Times New Roman" w:hAnsi="-webkit-standard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Należy podać adres strony internetowej, na której aukcja będzie prowadzona: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Informacje dotyczące przebiegu aukcji elektronicznej: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 xml:space="preserve">Informacje dotyczące wykorzystywanego sprzętu elektronicznego, rozwiązań i 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>specyfikacji technicznych w zakresie połączeń: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Wymagania dotyczące rejestracji i identyfikacji wykonawców w aukcji elektronicznej: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Informacje o liczbie etapów aukcji elektronicznej i czasie ich trwania: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Czas trwania: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Czy wykonawcy, którzy nie złożyli nowych postąpień, zostaną zakwalifikowani do następnego etapu: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Warunki zamknięcia aukcji elektronicznej: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IV.2) KRYTERIA OCENY OFERT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IV.2.1) Kryteria oceny ofert: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IV.2.2) Kryteria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823212" w:rsidRPr="00823212" w:rsidTr="00823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212" w:rsidRPr="00823212" w:rsidRDefault="00823212" w:rsidP="00823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212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212" w:rsidRPr="00823212" w:rsidRDefault="00823212" w:rsidP="00823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212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823212" w:rsidRPr="00823212" w:rsidTr="00823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212" w:rsidRPr="00823212" w:rsidRDefault="00823212" w:rsidP="00823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21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212" w:rsidRPr="00823212" w:rsidRDefault="00823212" w:rsidP="00823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212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823212" w:rsidRPr="00823212" w:rsidTr="00823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212" w:rsidRPr="00823212" w:rsidRDefault="00823212" w:rsidP="00823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212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212" w:rsidRPr="00823212" w:rsidRDefault="00823212" w:rsidP="00823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212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IV.2.3) Zastosowanie procedury, o której mowa w art. 24aa ust. 1 ustawy Pzp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(przetarg nieograniczony)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IV.3) Negocjacje z ogłoszeniem, dialog konkurencyjny, partnerstwo innowacyjne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IV.3.1) Informacje na temat negocjacji z ogłoszeniem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Minimalne wymagania, które muszą spełniać wszystkie oferty: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Przewidziany jest podział negocjacji na etapy w celu ograniczenia liczby ofert: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Należy podać informacje na temat etapów negocjacji (w tym liczbę etapów):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Informacje dodatkowe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IV.3.2) Informacje na temat dialogu konkurencyjnego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Opis potrzeb i wymagań zamawiającego lub informacja o sposobie uzyskania tego opisu: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Wstępny harmonogram postępowania: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Podział dialogu na etapy w celu ograniczenia liczby rozwiązań: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Należy podać informacje na temat etapów dialogu: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Informacje dodatkowe: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IV.3.3) Informacje na temat partnerstwa innowacyjnego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Informacje dodatkowe: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IV.4) Licytacja elektroniczna 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>Adres strony internetowej, na której jest dostępny opis przedmiotu zamówienia w licytacji elektronicznej: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Informacje o liczbie etapów licytacji elektronicznej i czasie ich trwania: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Czas trwania: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Termin składania wniosków o dopuszczenie do udziału w licytacji elektronicznej: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Data: godzina: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Termin otwarcia licytacji elektronicznej: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Termin i warunki zamknięcia licytacji elektronicznej: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Wymagania dotyczące zabezpieczenia należytego wykonania umowy: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Informacje dodatkowe: 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IV.5) ZMIANA UMOWY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Tak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Należy wskazać zakres, charakter zmian oraz warunki wprowadzenia zmian: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 xml:space="preserve">1. Wszelkie zmiany umowy pod rygorem nieważności wymagają formy pisemnej. 2. Strony dopuszczają możliwość dokonania zmian postanowień umowy w stosunku do treści oferty: 1) w przypadku zmiany ustawowej stawki podatku od towarów i usług; w takim przypadku ulegnie zmianie wynagrodzenie ryczałtowe w kwocie brutto, z 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 xml:space="preserve">uwzględnieniem obowiązującej stawki podatku VAT; 2) w przypadku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prac i nie spowoduje zmiany wynagrodzenia Wykonawcy. Inicjatorem tej zmiany może być Zamawiający lub Wykonawca; 3. Zamawiający dopuszcza zmianę terminu umowy z przyczyn nie wynikających ze zwłoki Wykonawcy, w szczególności w razie zaistnienia zdarzeń o charakterze działania siły wyższej, przez którą strony rozumieją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zamówienia, 4.Ponadto przewiduje się możliwość dokonania istotnych zmian postanowień umowy w stosunku do treści oferty na podstawie której dokonano wyboru Wykonawcy, a dotyczących w szczególności zakresu rzeczowego robót, terminu ich wykonania, należnego wynagrodzenia umownego, sposobu wykonywania i odbioru robót, gdy są one następstwem niemożliwej do przewidzenia: 1) konieczności zrealizowania robót przy zastosowaniu innych rozwiązań technicznych, technologicznych lub materiałowych niż wynikające z dokumentacji technicznej, w sytuacji, gdy zastosowanie przewidzianych rozwiązań groziło niewykonaniem lub wadliwym wykonaniem robót albo ze względu na zmiany przepisów prawa lub zmiany w dokumentacji technicznej narzucone lub wprowadzone przez uprawnione organy administracji publicznej, 2) konieczności wprowadzenia zmian w dokumentacji technicznej z przyczyn niezależnych od Zamawiającego lub Wykonawcy, 3) konieczności zmiany materiałów, urządzeń, instalacji wskazanych w dokumentacji technicznej, w sytuacji ich niedostępności na rynku spowodowanej zaprzestaniem produkcji lub wycofaniem ich z rynku, 4) wystąpienia uzasadnionej konieczności zwiększenia bezpieczeństwa realizacji robót; 5) wystąpienia siły wyższej. 4. Zakres zmian postanowień umowy, wywołanych przyczynami, o których mowa w ust. 2 i 3, powinien być odpowiedni do wywołującej je przyczyny, pod względem rzeczowym, czasowym i 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>finansowym.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IV.6) INFORMACJE ADMINISTRACYJNE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IV.6.1) Sposób udostępniania informacji o charakterze poufnym </w:t>
      </w:r>
      <w:r w:rsidRPr="00823212">
        <w:rPr>
          <w:rFonts w:ascii="-webkit-standard" w:eastAsia="Times New Roman" w:hAnsi="-webkit-standard" w:cs="Times New Roman"/>
          <w:i/>
          <w:iCs/>
          <w:color w:val="000000"/>
          <w:lang w:eastAsia="pl-PL"/>
        </w:rPr>
        <w:t>(jeżeli dotyczy):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Środki służące ochronie informacji o charakterze poufnym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Data: 2019-03-29, godzina: 10:30,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Wskazać powody: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  <w:t>&gt; POLSKI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IV.6.3) Termin związania ofertą: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do: okres w dniach: 30 (od ostatecznego terminu składania ofert)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Nie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  <w:r w:rsidRPr="00823212">
        <w:rPr>
          <w:rFonts w:ascii="-webkit-standard" w:eastAsia="Times New Roman" w:hAnsi="-webkit-standard" w:cs="Times New Roman"/>
          <w:b/>
          <w:bCs/>
          <w:color w:val="000000"/>
          <w:lang w:eastAsia="pl-PL"/>
        </w:rPr>
        <w:lastRenderedPageBreak/>
        <w:t>IV.6.6) Informacje dodatkowe: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t> </w:t>
      </w: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p w:rsidR="00823212" w:rsidRPr="00823212" w:rsidRDefault="00823212" w:rsidP="00823212">
      <w:pPr>
        <w:spacing w:line="450" w:lineRule="atLeast"/>
        <w:jc w:val="center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l-PL"/>
        </w:rPr>
      </w:pPr>
      <w:r w:rsidRPr="00823212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823212" w:rsidRPr="00823212" w:rsidRDefault="00823212" w:rsidP="00823212">
      <w:pPr>
        <w:spacing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823212" w:rsidRPr="00823212" w:rsidRDefault="00823212" w:rsidP="00823212">
      <w:pPr>
        <w:spacing w:after="240" w:line="450" w:lineRule="atLeast"/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823212" w:rsidRPr="00823212" w:rsidRDefault="00823212" w:rsidP="00823212">
      <w:pPr>
        <w:rPr>
          <w:rFonts w:ascii="Times New Roman" w:eastAsia="Times New Roman" w:hAnsi="Times New Roman" w:cs="Times New Roman"/>
          <w:lang w:eastAsia="pl-PL"/>
        </w:rPr>
      </w:pPr>
      <w:r w:rsidRPr="00823212">
        <w:rPr>
          <w:rFonts w:ascii="-webkit-standard" w:eastAsia="Times New Roman" w:hAnsi="-webkit-standard" w:cs="Times New Roman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3212" w:rsidRPr="00823212" w:rsidTr="00823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212" w:rsidRPr="00823212" w:rsidRDefault="00823212" w:rsidP="0082321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527EE" w:rsidRDefault="00823212">
      <w:bookmarkStart w:id="0" w:name="_GoBack"/>
      <w:bookmarkEnd w:id="0"/>
    </w:p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12"/>
    <w:rsid w:val="00031115"/>
    <w:rsid w:val="00314942"/>
    <w:rsid w:val="008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4E09-2CC6-3545-8802-A5DA46FD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2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3804</Words>
  <Characters>22827</Characters>
  <Application>Microsoft Office Word</Application>
  <DocSecurity>0</DocSecurity>
  <Lines>190</Lines>
  <Paragraphs>53</Paragraphs>
  <ScaleCrop>false</ScaleCrop>
  <Company/>
  <LinksUpToDate>false</LinksUpToDate>
  <CharactersWithSpaces>26578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1</cp:revision>
  <dcterms:created xsi:type="dcterms:W3CDTF">2019-03-18T06:08:00Z</dcterms:created>
  <dcterms:modified xsi:type="dcterms:W3CDTF">2019-03-18T06:08:00Z</dcterms:modified>
</cp:coreProperties>
</file>